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69EA" w:rsidRDefault="00110C0E">
      <w:pPr>
        <w:spacing w:after="240"/>
        <w:jc w:val="center"/>
      </w:pPr>
      <w:r>
        <w:rPr>
          <w:b/>
          <w:color w:val="1F3A60"/>
          <w:sz w:val="36"/>
        </w:rPr>
        <w:t>SPECYFIKACJA TECHNICZNA</w:t>
      </w:r>
      <w:r>
        <w:rPr>
          <w:b/>
          <w:color w:val="1F3A60"/>
          <w:sz w:val="36"/>
        </w:rPr>
        <w:br/>
        <w:t>WYKONANIA I ODBIORU ROBÓT</w:t>
      </w:r>
    </w:p>
    <w:p w:rsidR="00CB69EA" w:rsidRDefault="00110C0E">
      <w:pPr>
        <w:spacing w:after="320"/>
        <w:jc w:val="center"/>
      </w:pPr>
      <w:r>
        <w:rPr>
          <w:b/>
          <w:sz w:val="30"/>
        </w:rPr>
        <w:t>Wymiana nawierzchni placu zabaw</w:t>
      </w:r>
      <w:r>
        <w:rPr>
          <w:b/>
          <w:sz w:val="30"/>
        </w:rPr>
        <w:br/>
        <w:t>(w obrębie krawężników) na nawierzchnię wylewaną EPDM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29"/>
        <w:gridCol w:w="4929"/>
      </w:tblGrid>
      <w:tr w:rsidR="00CB69EA">
        <w:trPr>
          <w:jc w:val="center"/>
        </w:trPr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shd w:val="clear" w:color="auto" w:fill="EAF0F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b/>
                <w:color w:val="1F3A60"/>
              </w:rPr>
              <w:t>Adres inwestycji</w:t>
            </w:r>
          </w:p>
        </w:tc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B69EA" w:rsidRDefault="00110C0E">
            <w:pPr>
              <w:spacing w:after="0"/>
            </w:pPr>
            <w:r>
              <w:t>ul. Koszarowa 24-33, Szczecin</w:t>
            </w:r>
          </w:p>
        </w:tc>
      </w:tr>
      <w:tr w:rsidR="00CB69EA">
        <w:trPr>
          <w:jc w:val="center"/>
        </w:trPr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shd w:val="clear" w:color="auto" w:fill="EAF0F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b/>
                <w:color w:val="1F3A60"/>
              </w:rPr>
              <w:t>Inwestor</w:t>
            </w:r>
          </w:p>
        </w:tc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B69EA" w:rsidRDefault="00110C0E">
            <w:pPr>
              <w:spacing w:after="0"/>
            </w:pPr>
            <w:r>
              <w:t>Szczecińskie Towarzystwo Budownictwa Społecznego Spółka z o.o.</w:t>
            </w:r>
            <w:r>
              <w:br/>
              <w:t>70-302 Szczecin, ul. Boh. Getta Warszawskiego 1A</w:t>
            </w:r>
          </w:p>
        </w:tc>
      </w:tr>
      <w:tr w:rsidR="00CB69EA">
        <w:trPr>
          <w:jc w:val="center"/>
        </w:trPr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shd w:val="clear" w:color="auto" w:fill="EAF0F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b/>
                <w:color w:val="1F3A60"/>
              </w:rPr>
              <w:t>Zakres opracowania</w:t>
            </w:r>
          </w:p>
        </w:tc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B69EA" w:rsidRDefault="00110C0E">
            <w:r>
              <w:t>Wymiana nawierzchni placu zabaw na system bezspoinowy SBR + EPDM wraz z robotami przygotowawczymi, wykonaniem warstw konstrukcyjnych oraz wywozem materiału z rozbiórki.</w:t>
            </w:r>
          </w:p>
        </w:tc>
      </w:tr>
      <w:tr w:rsidR="00CB69EA">
        <w:trPr>
          <w:jc w:val="center"/>
        </w:trPr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shd w:val="clear" w:color="auto" w:fill="EAF0F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b/>
                <w:color w:val="1F3A60"/>
              </w:rPr>
              <w:t>Podstawa opracowania</w:t>
            </w:r>
          </w:p>
        </w:tc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B69EA" w:rsidRDefault="00110C0E">
            <w:r>
              <w:t>Dokumentacja kosztorysowa, założenia inwestora, obowiązujące przepisy techniczno-budowlane, normy oraz wytyczne producenta systemu nawierzchni.</w:t>
            </w:r>
          </w:p>
        </w:tc>
      </w:tr>
    </w:tbl>
    <w:p w:rsidR="00CB69EA" w:rsidRDefault="00110C0E">
      <w:r>
        <w:br w:type="page"/>
      </w:r>
    </w:p>
    <w:p w:rsidR="00CB69EA" w:rsidRDefault="00110C0E">
      <w:pPr>
        <w:pStyle w:val="HeadingSpec1"/>
        <w:spacing w:before="160" w:after="80"/>
      </w:pPr>
      <w:r>
        <w:lastRenderedPageBreak/>
        <w:t>1. Wstęp</w:t>
      </w:r>
    </w:p>
    <w:p w:rsidR="00CB69EA" w:rsidRDefault="00110C0E">
      <w:pPr>
        <w:pStyle w:val="HeadingSpec2"/>
        <w:spacing w:before="80" w:after="80"/>
      </w:pPr>
      <w:r>
        <w:t>1.1. Przedmiot specyfikacji</w:t>
      </w:r>
    </w:p>
    <w:p w:rsidR="00CB69EA" w:rsidRDefault="00110C0E">
      <w:pPr>
        <w:spacing w:after="80"/>
      </w:pPr>
      <w:r>
        <w:t>Przedmiotem niniejszej Specyfikacji Technicznej Wykonania i Odbioru Robót jest określenie wymagań dotyczących wykonania i odbioru robót związanych z wymianą nawierzchni placu zabaw (w obrębie istniejących krawężników) przy ul. Koszarowej 24-33 w Szczecinie na nawierzchnię wylewaną EPDM.</w:t>
      </w:r>
    </w:p>
    <w:p w:rsidR="00CB69EA" w:rsidRDefault="00110C0E">
      <w:pPr>
        <w:pStyle w:val="HeadingSpec2"/>
        <w:spacing w:before="80" w:after="80"/>
      </w:pPr>
      <w:r>
        <w:t>1.2. Zakres stosowania</w:t>
      </w:r>
    </w:p>
    <w:p w:rsidR="00CB69EA" w:rsidRDefault="00110C0E">
      <w:pPr>
        <w:spacing w:after="80"/>
      </w:pPr>
      <w:r>
        <w:t>Specyfikacja stanowi podstawę techniczną do zlecenia, wyceny, wykonania i odbioru robót objętych niniejszym opracowaniem. W przypadku rozbieżności pomiędzy STWiOR, przedmiarem, dokumentacją projektową i warunkami terenowymi należy niezwłocznie poinformować Inspektora Nadzoru oraz Inwestora.</w:t>
      </w:r>
    </w:p>
    <w:p w:rsidR="00CB69EA" w:rsidRDefault="00110C0E">
      <w:pPr>
        <w:pStyle w:val="HeadingSpec2"/>
        <w:spacing w:before="80" w:after="80"/>
      </w:pPr>
      <w:r>
        <w:t>1.3. Zakres robót objętych STWiOR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ręczne rozebranie istniejącej nawierzchni z tłucznia kamiennego o grubości 15 cm;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ręczne usunięcie warstwy ziemi urodzajnej do łącznej grubości 20 cm wraz z przewozem taczkami;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wykonanie warstwy odsączającej z piasku o grubości 5 cm po zagęszczeniu;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ułożenie geowłókniny separacyjnej sposobem ręcznym;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wykonanie dolnej podbudowy z kruszywa łamanego frakcji 0-31 mm o grubości 20 cm po zagęszczeniu;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wykonanie górnej podbudowy z kruszywa łamanego frakcji 0-16 mm o grubości 5 cm po zagęszczeniu;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wykonanie bezspoinowej nawierzchni poliuretanowej: warstwa stabilizująca SBR gr. 35 mm oraz warstwa użytkowa EPDM gr. 15 mm;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wykonanie nawierzchni w kolorystyce zgodnej z kosztorysem: zielony 42,93 m² i niebieski 42,93 m²;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załadunek, wywiezienie i zagospodarowanie gruzu oraz ziemi z rozbiórki i korytowania przy wykorzystaniu kontenerów.</w:t>
      </w:r>
    </w:p>
    <w:p w:rsidR="00CB69EA" w:rsidRDefault="00110C0E">
      <w:pPr>
        <w:pStyle w:val="HeadingSpec2"/>
        <w:spacing w:before="80" w:after="80"/>
      </w:pPr>
      <w:r>
        <w:t>1.4. Charakterystyczne parametry robót</w:t>
      </w:r>
    </w:p>
    <w:p w:rsidR="00CB69EA" w:rsidRDefault="00110C0E">
      <w:pPr>
        <w:spacing w:after="80"/>
      </w:pPr>
      <w:r>
        <w:t>Powierzchnia objęta robotami wynosi 85,86 m². Zakres rzeczowy, grubości warstw oraz podział kolorystyczny nawierzchni przyjęto zgodnie z dokumentacją kosztorysową, założeniami inwestora oraz wymaganiami technologicznymi dla systemu nawierzchni bezspoinowej.</w:t>
      </w:r>
    </w:p>
    <w:p w:rsidR="00CB69EA" w:rsidRDefault="00110C0E">
      <w:pPr>
        <w:spacing w:after="80"/>
      </w:pPr>
      <w:r>
        <w:t>Specyfikacja obejmuje wyłącznie roboty związane z wymianą nawierzchni placu zabaw w obrębie istniejących krawężników przy ul. Koszarowej 24-33 w Szczecinie.</w:t>
      </w:r>
    </w:p>
    <w:p w:rsidR="00CB69EA" w:rsidRDefault="00110C0E">
      <w:pPr>
        <w:pStyle w:val="HeadingSpec2"/>
        <w:spacing w:before="80" w:after="80"/>
      </w:pPr>
      <w:r>
        <w:t>1.5. Zestawienie podstawowych robót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5"/>
        <w:gridCol w:w="5669"/>
        <w:gridCol w:w="2465"/>
        <w:gridCol w:w="2465"/>
      </w:tblGrid>
      <w:tr w:rsidR="00CB69EA">
        <w:trPr>
          <w:tblHeader/>
          <w:jc w:val="center"/>
        </w:trPr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Lp.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Pozycja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J.m.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Ilość</w:t>
            </w:r>
          </w:p>
        </w:tc>
      </w:tr>
      <w:tr w:rsidR="00CB69EA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Ręczne rozebranie nawierzchni z tłucznia kamiennego o grubości 15 cm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85,86</w:t>
            </w:r>
          </w:p>
        </w:tc>
      </w:tr>
      <w:tr w:rsidR="00CB69EA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Ręczne usunięcie warstwy ziemi urodzajnej grubości do 15 cm z przewozem taczkami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85,86</w:t>
            </w:r>
          </w:p>
        </w:tc>
      </w:tr>
      <w:tr w:rsidR="00CB69EA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Ręczne usunięcie warstwy ziemi urodzajnej za każde następne 5 cm grubości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85,86</w:t>
            </w:r>
          </w:p>
        </w:tc>
      </w:tr>
      <w:tr w:rsidR="00CB69EA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Warstwa odsączająca w korycie, grubość po zagęszczeniu 5 cm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85,86</w:t>
            </w:r>
          </w:p>
        </w:tc>
      </w:tr>
      <w:tr w:rsidR="00CB69EA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Separacja warstw gruntu geowłókniną układaną ręcznie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85,86</w:t>
            </w:r>
          </w:p>
        </w:tc>
      </w:tr>
      <w:tr w:rsidR="00CB69EA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6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r>
              <w:rPr>
                <w:sz w:val="18"/>
              </w:rPr>
              <w:t>Warstwa dolna podbudowy z kruszywa 0-31 mm, gr. 20 cm po zag.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85,86</w:t>
            </w:r>
          </w:p>
        </w:tc>
      </w:tr>
      <w:tr w:rsidR="00CB69EA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lastRenderedPageBreak/>
              <w:t>7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r>
              <w:rPr>
                <w:sz w:val="18"/>
              </w:rPr>
              <w:t>Warstwa górna podbudowy z kruszywa 0-16 mm, gr. 5 cm po zag.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85,86</w:t>
            </w:r>
          </w:p>
        </w:tc>
      </w:tr>
      <w:tr w:rsidR="00CB69EA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8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Warstwa stabilizująca poliuretanowa z SBR 35 mm + warstwa użytkowa EPDM 15 mm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85,86</w:t>
            </w:r>
          </w:p>
        </w:tc>
      </w:tr>
      <w:tr w:rsidR="00CB69EA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9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Wywiezienie gruzu spryzmowanego i ziemi – wynajem kontenerów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m³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36,061</w:t>
            </w:r>
          </w:p>
        </w:tc>
      </w:tr>
    </w:tbl>
    <w:p w:rsidR="00CB69EA" w:rsidRDefault="00110C0E">
      <w:pPr>
        <w:pStyle w:val="HeadingSpec1"/>
        <w:spacing w:before="160" w:after="80"/>
      </w:pPr>
      <w:r>
        <w:t>2. Materiały</w:t>
      </w:r>
    </w:p>
    <w:p w:rsidR="00CB69EA" w:rsidRDefault="00110C0E">
      <w:pPr>
        <w:pStyle w:val="HeadingSpec2"/>
        <w:spacing w:before="80" w:after="80"/>
      </w:pPr>
      <w:r>
        <w:t>2.1. Wymagania ogólne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Wszystkie materiały przeznaczone do wbudowania muszą być pełnowartościowe, fabrycznie nowe, zgodne z przeznaczeniem oraz posiadać wymagane dokumenty dopuszczające do stosowania w budownictwie.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Materiały systemu poliuretanowego powinny pochodzić z jednego, kompletnego systemu technologicznego producenta, tak aby zapewnić kompatybilność warstw.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Przed wbudowaniem Wykonawca przedstawi Inspektorowi Nadzoru deklaracje właściwości użytkowych, karty techniczne, instrukcje stosowania oraz – jeżeli są wymagane – dokumenty potwierdzające możliwość zastosowania nawierzchni na placu zabaw.</w:t>
      </w:r>
    </w:p>
    <w:p w:rsidR="00CB69EA" w:rsidRDefault="00110C0E">
      <w:pPr>
        <w:pStyle w:val="HeadingSpec2"/>
        <w:spacing w:before="80" w:after="80"/>
      </w:pPr>
      <w:r>
        <w:t>2.2. Materiały podstawowe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piasek na warstwę odsączającą – czysty, bez domieszek organicznych i zanieczyszczeń;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geowłóknina separacyjna – odporna na rozerwanie i przystosowana do rozdzielenia warstw konstrukcyjnych;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kruszywo łamane frakcji 0-31 mm na warstwę dolną podbudowy;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kruszywo łamane frakcji 0-16 mm oraz miał kamienny zgodnie z technologią wykonania warstwy górnej podbudowy;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woda technologiczna do zagęszczania i pielęgnacji warstw kruszywowych;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granulat SBR i lepiszcze poliuretanowe do wykonania warstwy stabilizującej grubości 35 mm;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kolorowy granulat EPDM oraz lepiszcze poliuretanowe do wykonania warstwy użytkowej grubości 15 mm.</w:t>
      </w:r>
    </w:p>
    <w:p w:rsidR="00CB69EA" w:rsidRDefault="00110C0E">
      <w:pPr>
        <w:pStyle w:val="HeadingSpec2"/>
        <w:spacing w:before="80" w:after="80"/>
      </w:pPr>
      <w:r>
        <w:t>2.3. Układ warstw konstrukcyjnych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21"/>
        <w:gridCol w:w="2465"/>
        <w:gridCol w:w="3742"/>
        <w:gridCol w:w="2465"/>
      </w:tblGrid>
      <w:tr w:rsidR="00CB69EA">
        <w:trPr>
          <w:tblHeader/>
          <w:jc w:val="center"/>
        </w:trPr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Warstwa / element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Grubość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Materiał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Uwagi</w:t>
            </w:r>
          </w:p>
        </w:tc>
      </w:tr>
      <w:tr w:rsidR="00CB69EA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Rozbiórka istniejącej nawierzchni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15 cm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tłuczeń kamienny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do usunięcia</w:t>
            </w:r>
          </w:p>
        </w:tc>
      </w:tr>
      <w:tr w:rsidR="00CB69EA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Usunięcie warstwy ziemi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20 cm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grunt / ziemia urodzajna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do wywozu</w:t>
            </w:r>
          </w:p>
        </w:tc>
      </w:tr>
      <w:tr w:rsidR="00CB69EA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Warstwa odsączająca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5 cm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piasek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po zagęszczeniu</w:t>
            </w:r>
          </w:p>
        </w:tc>
      </w:tr>
      <w:tr w:rsidR="00CB69EA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Separacja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—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geowłóknina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układana ręcznie</w:t>
            </w:r>
          </w:p>
        </w:tc>
      </w:tr>
      <w:tr w:rsidR="00CB69EA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Podbudowa dolna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20 cm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kruszywo łamane 0-31 mm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po zagęszczeniu</w:t>
            </w:r>
          </w:p>
        </w:tc>
      </w:tr>
      <w:tr w:rsidR="00CB69EA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Podbudowa górna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5 cm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kruszywo łamane 0-16 mm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po zagęszczeniu</w:t>
            </w:r>
          </w:p>
        </w:tc>
      </w:tr>
      <w:tr w:rsidR="00CB69EA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Warstwa stabilizująca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35 mm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granulat SBR + lepiszcze PU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bezspoinowa</w:t>
            </w:r>
          </w:p>
        </w:tc>
      </w:tr>
      <w:tr w:rsidR="00CB69EA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Warstwa użytkowa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15 mm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</w:pPr>
            <w:r>
              <w:rPr>
                <w:sz w:val="18"/>
              </w:rPr>
              <w:t>granulat EPDM + lepiszcze PU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CB69EA" w:rsidRDefault="00110C0E">
            <w:pPr>
              <w:spacing w:after="0"/>
              <w:jc w:val="center"/>
            </w:pPr>
            <w:r>
              <w:rPr>
                <w:sz w:val="18"/>
              </w:rPr>
              <w:t>zielony / niebieski</w:t>
            </w:r>
          </w:p>
        </w:tc>
      </w:tr>
    </w:tbl>
    <w:p w:rsidR="00CB69EA" w:rsidRDefault="00110C0E">
      <w:pPr>
        <w:pStyle w:val="HeadingSpec1"/>
        <w:spacing w:before="160" w:after="80"/>
      </w:pPr>
      <w:r>
        <w:lastRenderedPageBreak/>
        <w:t>3. Sprzęt i transport</w:t>
      </w:r>
    </w:p>
    <w:p w:rsidR="00CB69EA" w:rsidRDefault="00110C0E">
      <w:pPr>
        <w:spacing w:after="80"/>
      </w:pPr>
      <w:r>
        <w:t>Do wykonania robót należy stosować sprzęt odpowiedni do zakresu prac, sprawny technicznie i obsługiwany przez osoby posiadające wymagane kwalifikacje.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narzędzia i sprzęt do robót rozbiórkowych oraz ręcznego korytowania;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taczki lub inny drobny sprzęt transportowy do przewozu gruntu na terenie budowy;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zagęszczarka spalinowa, ubijak, walec statyczny lub sprzęt równoważny do zagęszczania warstw;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sprzęt do rozścielania i profilowania kruszyw;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mieszarka / betoniarka wolnospadowa lub urządzenia systemowe do przygotowania mieszanek poliuretanowych;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samochód samowyładowczy i kontenery do wywozu gruzu oraz ziemi.</w:t>
      </w:r>
    </w:p>
    <w:p w:rsidR="00CB69EA" w:rsidRDefault="00110C0E">
      <w:pPr>
        <w:pStyle w:val="HeadingSpec1"/>
        <w:spacing w:before="160" w:after="80"/>
      </w:pPr>
      <w:r>
        <w:t>4. Wykonanie robót</w:t>
      </w:r>
    </w:p>
    <w:p w:rsidR="00CB69EA" w:rsidRDefault="00110C0E">
      <w:pPr>
        <w:pStyle w:val="HeadingSpec2"/>
        <w:spacing w:before="80" w:after="80"/>
      </w:pPr>
      <w:r>
        <w:t>4.1. Roboty przygotowawcze i rozbiórkowe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Przed rozpoczęciem robót należy zabezpieczyć teren, wyłączyć strefę prac z użytkowania i oznakować miejsce wykonywania robót.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Istniejącą nawierzchnię z tłucznia należy rozebrać ręcznie do grubości 15 cm na całej powierzchni objętej opracowaniem.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Następnie należy usunąć warstwę ziemi do łącznej grubości 20 cm, zgodnie z zakresem przyjętym w kosztorysie.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 xml:space="preserve">Materiał z rozbiórki i korytowania należy na bieżąco gromadzić, załadować </w:t>
      </w:r>
      <w:proofErr w:type="spellStart"/>
      <w:r>
        <w:t>i</w:t>
      </w:r>
      <w:proofErr w:type="spellEnd"/>
      <w:r>
        <w:t xml:space="preserve"> </w:t>
      </w:r>
      <w:proofErr w:type="spellStart"/>
      <w:r>
        <w:t>wywieźć</w:t>
      </w:r>
      <w:proofErr w:type="spellEnd"/>
      <w:r>
        <w:t xml:space="preserve"> </w:t>
      </w:r>
      <w:proofErr w:type="spellStart"/>
      <w:r>
        <w:t>poza</w:t>
      </w:r>
      <w:proofErr w:type="spellEnd"/>
      <w:r>
        <w:t xml:space="preserve"> </w:t>
      </w:r>
      <w:proofErr w:type="spellStart"/>
      <w:r>
        <w:t>tere</w:t>
      </w:r>
      <w:r w:rsidR="00CA0007">
        <w:t>n</w:t>
      </w:r>
      <w:proofErr w:type="spellEnd"/>
      <w:r>
        <w:t xml:space="preserve"> </w:t>
      </w:r>
      <w:proofErr w:type="spellStart"/>
      <w:r>
        <w:t>inwestycji</w:t>
      </w:r>
      <w:proofErr w:type="spellEnd"/>
      <w:r>
        <w:t>.</w:t>
      </w:r>
    </w:p>
    <w:p w:rsidR="00CB69EA" w:rsidRDefault="00110C0E">
      <w:pPr>
        <w:pStyle w:val="HeadingSpec2"/>
        <w:spacing w:before="80" w:after="80"/>
      </w:pPr>
      <w:r>
        <w:t>4.2. Wykonanie warstw konstrukcyjnych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Podłoże po wykonaniu koryta należy oczyścić, wyprofilować i sprawdzić pod względem nośności oraz spadków.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Warstwę odsączającą z piasku należy wykonać do grubości 5 cm po zagęszczeniu.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Geowłókninę należy układać ręcznie, z zachowaniem ciągłości warstwy i zakładów wymaganych przez producenta; uszkodzone odcinki należy wymienić.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Dolną podbudowę z kruszywa łamanego frakcji 0-31 mm należy wykonać do grubości 20 cm po zagęszczeniu.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Górną podbudowę z kruszywa łamanego frakcji 0-16 mm należy wykonać do grubości 5 cm po zagęszczeniu, z uzyskaniem równej, stabilnej powierzchni pod warstwy poliuretanowe.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Każdą warstwę należy rozścielać równomiernie, zwilżyć w razie potrzeby i zagęścić do uzyskania wymaganej stateczności oraz równości.</w:t>
      </w:r>
    </w:p>
    <w:p w:rsidR="00CB69EA" w:rsidRDefault="00110C0E">
      <w:pPr>
        <w:pStyle w:val="HeadingSpec2"/>
        <w:spacing w:before="80" w:after="80"/>
      </w:pPr>
      <w:r>
        <w:t>4.3. Wykonanie nawierzchni bezspoinowej SBR + EPDM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Warstwę stabilizującą należy wykonać z granulatu SBR na lepiszczu poliuretanowym do grubości 35 mm.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Na warstwie stabilizującej należy wykonać warstwę użytkową z kolorowego granulatu EPDM na lepiszczu poliuretanowym do grubości 15 mm.</w:t>
      </w:r>
    </w:p>
    <w:p w:rsidR="00CB69EA" w:rsidRDefault="00110C0E">
      <w:pPr>
        <w:spacing w:after="60"/>
        <w:ind w:left="340" w:hanging="198"/>
      </w:pPr>
      <w:r>
        <w:t>• Kolorystykę nawierzchni należy wykonać w podziale na pola: 42,93 m² w kolorze zielonym oraz 42,93 m² w kolorze niebieskim, z zachowaniem wyraźnych i estetycznych granic pomiędzy kolorami.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Nawierzchnia po wykonaniu powinna być równa, jednorodna, bez raków, pęcherzy, spękań, rozwarstwień i miejscowego braku związania kruszywa.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Prace poliuretanowe prowadzić wyłącznie w warunkach atmosferycznych dopuszczonych przez producenta systemu.</w:t>
      </w:r>
    </w:p>
    <w:p w:rsidR="00CB69EA" w:rsidRDefault="00110C0E">
      <w:pPr>
        <w:pStyle w:val="HeadingSpec1"/>
        <w:spacing w:before="160" w:after="80"/>
      </w:pPr>
      <w:r>
        <w:t>5. Kontrola jakości robót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lastRenderedPageBreak/>
        <w:t xml:space="preserve">• </w:t>
      </w:r>
      <w:r>
        <w:t>Sprawdzeniu podlega zgodność zastosowanych materiałów z dokumentami dopuszczającymi do wbudowania oraz kartami technicznymi producentów.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Należy kontrolować grubości poszczególnych warstw konstrukcyjnych oraz jakość ich zagęszczenia.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Przed wykonaniem kolejnej warstwy należy odebrać roboty zanikające, w szczególności koryto, warstwę odsączającą, geowłókninę oraz podbudowy.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Dla nawierzchni poliuretanowej należy sprawdzić jednorodność powierzchni, zachowanie założonej kolorystyki, brak rozwarstwień oraz staranność wykończenia przy krawężnikach.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Wszelkie odstępstwa technologiczne od niniejszej STWiOR wymagają akceptacji Inspektora Nadzoru.</w:t>
      </w:r>
    </w:p>
    <w:p w:rsidR="00CB69EA" w:rsidRDefault="00110C0E">
      <w:pPr>
        <w:pStyle w:val="HeadingSpec1"/>
        <w:spacing w:before="160" w:after="80"/>
      </w:pPr>
      <w:r>
        <w:t>6. Obmiar i rozliczenie robót</w:t>
      </w:r>
    </w:p>
    <w:p w:rsidR="00CB69EA" w:rsidRDefault="00110C0E">
      <w:pPr>
        <w:spacing w:after="80"/>
      </w:pPr>
      <w:r>
        <w:t>Jednostki obmiarowe i zakres rozliczenia robót należy przyjmować następująco: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m² – dla robót rozbiórkowych, usunięcia gruntu, warstwy odsączającej, geowłókniny, podbudów oraz nawierzchni SBR + EPDM;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m³ – dla wywozu gruzu i ziemi;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powierzchnia rozliczeniowa nawierzchni: 85,86 m²;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objętość rozliczeniowa wywozu: 36,061 m³.</w:t>
      </w:r>
    </w:p>
    <w:p w:rsidR="00CB69EA" w:rsidRDefault="00110C0E">
      <w:pPr>
        <w:pStyle w:val="HeadingSpec1"/>
        <w:spacing w:before="160" w:after="80"/>
      </w:pPr>
      <w:r>
        <w:t>7. Odbiór robót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Odbiorowi zanikającemu podlegają roboty ulegające zakryciu, w szczególności koryto, warstwa odsączająca, geowłóknina oraz podbudowy.</w:t>
      </w:r>
    </w:p>
    <w:p w:rsidR="00CB69EA" w:rsidRDefault="00110C0E">
      <w:pPr>
        <w:spacing w:after="60"/>
        <w:ind w:left="340" w:hanging="198"/>
      </w:pPr>
      <w:r>
        <w:t>• Odbiór końcowy obejmuje sprawdzenie zgodności wykonania z niniejszą STWiOR, dokumentacją kosztorysową, dokumentami materiałowymi oraz stanem faktycznym na budowie.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Do odbioru Wykonawca przedłoży deklaracje właściwości użytkowych, karty techniczne systemu nawierzchni, dokumenty potwierdzające jakość wbudowanych materiałów oraz dokumenty potwierdzające wywóz odpadów – jeżeli będą wymagane przez Zamawiającego.</w:t>
      </w:r>
    </w:p>
    <w:p w:rsidR="00CB69EA" w:rsidRDefault="00110C0E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Podstawą rozliczenia jest faktycznie wykonany i odebrany zakres robót.</w:t>
      </w:r>
    </w:p>
    <w:p w:rsidR="00CB69EA" w:rsidRDefault="00110C0E">
      <w:pPr>
        <w:pStyle w:val="HeadingSpec1"/>
        <w:spacing w:before="160" w:after="80"/>
      </w:pPr>
      <w:r>
        <w:t>8. Postanowienia końcowe</w:t>
      </w:r>
    </w:p>
    <w:p w:rsidR="00CB69EA" w:rsidRDefault="00110C0E">
      <w:pPr>
        <w:spacing w:after="80"/>
      </w:pPr>
      <w:r>
        <w:t>Niniejsza specyfikacja określa wymagania techniczne dla robót związanych z wymianą nawierzchni placu zabaw (w obrębie istniejących krawężników) na nawierzchnię wylewaną EPDM przy ul. Koszarowej 24-33 w Szczecinie.</w:t>
      </w:r>
    </w:p>
    <w:p w:rsidR="00CB69EA" w:rsidRDefault="00110C0E">
      <w:pPr>
        <w:spacing w:after="80"/>
      </w:pPr>
      <w:r>
        <w:t>W przypadku ujawnienia w trakcie realizacji odmiennych warunków terenowych lub konieczności korekty grubości / technologii warstw, rozwiązanie należy uzgodnić z Inspektorem Nadzoru przed wykonaniem robót.</w:t>
      </w:r>
    </w:p>
    <w:sectPr w:rsidR="00CB69EA" w:rsidSect="00034616">
      <w:pgSz w:w="12240" w:h="15840"/>
      <w:pgMar w:top="1134" w:right="1134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9797467">
    <w:abstractNumId w:val="8"/>
  </w:num>
  <w:num w:numId="2" w16cid:durableId="1770420557">
    <w:abstractNumId w:val="6"/>
  </w:num>
  <w:num w:numId="3" w16cid:durableId="1914464028">
    <w:abstractNumId w:val="5"/>
  </w:num>
  <w:num w:numId="4" w16cid:durableId="1598826213">
    <w:abstractNumId w:val="4"/>
  </w:num>
  <w:num w:numId="5" w16cid:durableId="1799447394">
    <w:abstractNumId w:val="7"/>
  </w:num>
  <w:num w:numId="6" w16cid:durableId="2103646042">
    <w:abstractNumId w:val="3"/>
  </w:num>
  <w:num w:numId="7" w16cid:durableId="1903633148">
    <w:abstractNumId w:val="2"/>
  </w:num>
  <w:num w:numId="8" w16cid:durableId="1070889175">
    <w:abstractNumId w:val="1"/>
  </w:num>
  <w:num w:numId="9" w16cid:durableId="5736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1C98"/>
    <w:rsid w:val="00110C0E"/>
    <w:rsid w:val="0015074B"/>
    <w:rsid w:val="0029639D"/>
    <w:rsid w:val="00326F90"/>
    <w:rsid w:val="003337AB"/>
    <w:rsid w:val="006F5907"/>
    <w:rsid w:val="00AA1D8D"/>
    <w:rsid w:val="00B20136"/>
    <w:rsid w:val="00B47730"/>
    <w:rsid w:val="00CA0007"/>
    <w:rsid w:val="00CB0664"/>
    <w:rsid w:val="00CB69E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04129F"/>
  <w14:defaultImageDpi w14:val="300"/>
  <w15:docId w15:val="{1A421326-469E-4574-A960-BCFFE96DD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HeadingSpec1">
    <w:name w:val="Heading Spec 1"/>
    <w:basedOn w:val="Normalny"/>
    <w:rPr>
      <w:b/>
      <w:color w:val="1F3A60"/>
      <w:sz w:val="26"/>
    </w:rPr>
  </w:style>
  <w:style w:type="paragraph" w:customStyle="1" w:styleId="HeadingSpec2">
    <w:name w:val="Heading Spec 2"/>
    <w:basedOn w:val="Normalny"/>
    <w:rPr>
      <w:b/>
      <w:color w:val="2F5D8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1439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Skrzypczak</dc:creator>
  <cp:keywords/>
  <dc:description>generated by python-docx</dc:description>
  <cp:lastModifiedBy>Mikołaj Skrzypczak</cp:lastModifiedBy>
  <cp:revision>4</cp:revision>
  <dcterms:created xsi:type="dcterms:W3CDTF">2026-03-27T11:04:00Z</dcterms:created>
  <dcterms:modified xsi:type="dcterms:W3CDTF">2026-03-30T06:37:00Z</dcterms:modified>
  <cp:category/>
</cp:coreProperties>
</file>